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78EAB25B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="007010E7" w:rsidRPr="00BE32C4">
        <w:t>ԳՏՆՎՈՂ</w:t>
      </w:r>
      <w:proofErr w:type="gramEnd"/>
      <w:r w:rsidR="007010E7" w:rsidRPr="00BE32C4">
        <w:t xml:space="preserve">, ԱՐՏԱՇԱՏ ՀԱՄԱՅՆՔԻ ՍԵՓԱԿԱՆՈՒԹՅՈՒՆ  </w:t>
      </w:r>
      <w:r w:rsidR="0063543C" w:rsidRPr="00BE32C4">
        <w:t>ՀԱՆԴԻՍԱՑՈՂ</w:t>
      </w:r>
      <w:r w:rsidR="0063543C">
        <w:rPr>
          <w:lang w:val="hy-AM"/>
        </w:rPr>
        <w:t xml:space="preserve"> </w:t>
      </w:r>
      <w:r w:rsidR="00307687">
        <w:rPr>
          <w:lang w:val="hy-AM"/>
        </w:rPr>
        <w:t>0,53273</w:t>
      </w:r>
      <w:r w:rsidR="0063543C">
        <w:rPr>
          <w:lang w:val="hy-AM"/>
        </w:rPr>
        <w:t xml:space="preserve"> ՀԱ ՄԱԿԵՐԵՍՈՎ </w:t>
      </w:r>
      <w:r w:rsidR="0063543C" w:rsidRPr="00BE32C4">
        <w:t xml:space="preserve"> </w:t>
      </w:r>
      <w:r w:rsidR="007010E7" w:rsidRPr="00BE32C4">
        <w:t xml:space="preserve">ԳՅՈՒՂԱՏՆՏԵՍԱԿԱՆ ՆՇԱՆԱԿՈՒԹՅԱՆ </w:t>
      </w:r>
      <w:r w:rsidR="00131822">
        <w:rPr>
          <w:lang w:val="hy-AM"/>
        </w:rPr>
        <w:t>ՀՈՂԱՄԱՍՆ</w:t>
      </w:r>
      <w:r w:rsidR="007010E7" w:rsidRPr="00BE32C4">
        <w:t xml:space="preserve"> ԱՃՈՒՐԴԱՅԻՆ ԵՂԱՆԱԿՈՎ 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FBE757E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307687">
        <w:rPr>
          <w:rFonts w:ascii="GHEA Grapalat" w:hAnsi="GHEA Grapalat"/>
          <w:sz w:val="24"/>
          <w:szCs w:val="24"/>
          <w:lang w:val="hy-AM"/>
        </w:rPr>
        <w:t>0,53273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22781" w:rsidRPr="00222781">
        <w:rPr>
          <w:rFonts w:ascii="GHEA Grapalat" w:hAnsi="GHEA Grapalat"/>
          <w:sz w:val="24"/>
          <w:szCs w:val="24"/>
          <w:lang w:val="hy-AM"/>
        </w:rPr>
        <w:t>հողամասն</w:t>
      </w:r>
      <w:r w:rsidR="0022278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73E2DACB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ԳՅՈՒՂՈՒՄ  </w:t>
      </w:r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>ԳՏՆՎՈՂ</w:t>
      </w:r>
      <w:proofErr w:type="gramEnd"/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</w:t>
      </w:r>
      <w:r w:rsidR="0063543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ՍԵՓԱԿԱՆՈՒԹՅՈՒՆ </w:t>
      </w:r>
      <w:r w:rsidR="00307687">
        <w:rPr>
          <w:rFonts w:ascii="GHEA Grapalat" w:hAnsi="GHEA Grapalat"/>
          <w:sz w:val="24"/>
          <w:szCs w:val="24"/>
          <w:lang w:val="hy-AM"/>
        </w:rPr>
        <w:t>0,53273</w:t>
      </w:r>
      <w:r w:rsidR="00307687">
        <w:rPr>
          <w:rFonts w:ascii="GHEA Grapalat" w:hAnsi="GHEA Grapalat"/>
          <w:sz w:val="24"/>
          <w:szCs w:val="24"/>
          <w:lang w:val="hy-AM"/>
        </w:rPr>
        <w:t xml:space="preserve">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ՀԱ ՄԱԿԵՐԵՍՈՎ </w:t>
      </w:r>
      <w:r w:rsidR="0063543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131822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3B8F5583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307687">
        <w:rPr>
          <w:rFonts w:ascii="GHEA Grapalat" w:hAnsi="GHEA Grapalat"/>
          <w:sz w:val="24"/>
          <w:szCs w:val="24"/>
          <w:lang w:val="hy-AM"/>
        </w:rPr>
        <w:t>0,53273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4E72A3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="004E72A3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3C5EA5D3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Pr="00BE32C4">
        <w:t>ԳՏՆՎՈՂ</w:t>
      </w:r>
      <w:proofErr w:type="gramEnd"/>
      <w:r w:rsidRPr="00BE32C4">
        <w:t xml:space="preserve">, ԱՐՏԱՇԱՏ ՀԱՄԱՅՆՔԻ ՍԵՓԱԿԱՆՈՒԹՅՈՒՆ  </w:t>
      </w:r>
      <w:r w:rsidR="0063543C" w:rsidRPr="00BE32C4">
        <w:t>ՀԱՆԴԻՍԱՑՈՂ</w:t>
      </w:r>
      <w:r w:rsidR="0063543C">
        <w:rPr>
          <w:lang w:val="hy-AM"/>
        </w:rPr>
        <w:t xml:space="preserve"> </w:t>
      </w:r>
      <w:r w:rsidR="00307687">
        <w:rPr>
          <w:lang w:val="hy-AM"/>
        </w:rPr>
        <w:t>0,53273</w:t>
      </w:r>
      <w:r w:rsidR="00307687">
        <w:rPr>
          <w:lang w:val="hy-AM"/>
        </w:rPr>
        <w:t xml:space="preserve"> </w:t>
      </w:r>
      <w:r w:rsidR="0063543C">
        <w:rPr>
          <w:lang w:val="hy-AM"/>
        </w:rPr>
        <w:t xml:space="preserve">ՀԱ ՄԱԿԵՐԵՍՈՎ </w:t>
      </w:r>
      <w:r w:rsidR="0063543C" w:rsidRPr="00BE32C4">
        <w:t xml:space="preserve"> </w:t>
      </w:r>
      <w:r w:rsidRPr="00BE32C4">
        <w:t xml:space="preserve">ԳՅՈՒՂԱՏՆՏԵՍԱԿԱՆ ՆՇԱՆԱԿՈՒԹՅԱՆ </w:t>
      </w:r>
      <w:r w:rsidR="00131822">
        <w:rPr>
          <w:lang w:val="hy-AM"/>
        </w:rPr>
        <w:t>ՀՈՂԱՄԱՍՆ</w:t>
      </w:r>
      <w:r w:rsidRPr="00BE32C4">
        <w:t xml:space="preserve"> ԱՃՈՒՐԴԱՅԻՆ 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56CBB3A9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307687">
        <w:rPr>
          <w:rFonts w:ascii="GHEA Grapalat" w:hAnsi="GHEA Grapalat"/>
          <w:sz w:val="24"/>
          <w:szCs w:val="24"/>
          <w:lang w:val="hy-AM"/>
        </w:rPr>
        <w:t>0,53273</w:t>
      </w:r>
      <w:bookmarkStart w:id="0" w:name="_GoBack"/>
      <w:bookmarkEnd w:id="0"/>
      <w:r w:rsidR="0063543C">
        <w:rPr>
          <w:rFonts w:ascii="GHEA Grapalat" w:hAnsi="GHEA Grapalat"/>
          <w:sz w:val="24"/>
          <w:szCs w:val="24"/>
          <w:lang w:val="hy-AM"/>
        </w:rPr>
        <w:t xml:space="preserve">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31822" w:rsidRPr="00131822">
        <w:rPr>
          <w:rFonts w:ascii="GHEA Grapalat" w:hAnsi="GHEA Grapalat"/>
          <w:sz w:val="24"/>
          <w:szCs w:val="24"/>
          <w:lang w:val="hy-AM"/>
        </w:rPr>
        <w:t>հողամասն</w:t>
      </w:r>
      <w:r w:rsidR="00131822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31822"/>
    <w:rsid w:val="00157667"/>
    <w:rsid w:val="00164199"/>
    <w:rsid w:val="001C2703"/>
    <w:rsid w:val="001D7DDC"/>
    <w:rsid w:val="00222781"/>
    <w:rsid w:val="0025230D"/>
    <w:rsid w:val="002821CB"/>
    <w:rsid w:val="002A0B54"/>
    <w:rsid w:val="00307687"/>
    <w:rsid w:val="00400856"/>
    <w:rsid w:val="004E72A3"/>
    <w:rsid w:val="00506CFE"/>
    <w:rsid w:val="0054799A"/>
    <w:rsid w:val="005960FE"/>
    <w:rsid w:val="0063543C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56DA4"/>
    <w:rsid w:val="00D731FE"/>
    <w:rsid w:val="00DB2824"/>
    <w:rsid w:val="00DE4667"/>
    <w:rsid w:val="00EE7C6A"/>
    <w:rsid w:val="00F22511"/>
    <w:rsid w:val="00F91CC1"/>
    <w:rsid w:val="00F97C5F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692A068-399D-42ED-85E3-34FF825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19</cp:revision>
  <cp:lastPrinted>2023-03-02T06:25:00Z</cp:lastPrinted>
  <dcterms:created xsi:type="dcterms:W3CDTF">2023-04-26T07:45:00Z</dcterms:created>
  <dcterms:modified xsi:type="dcterms:W3CDTF">2024-11-24T13:50:00Z</dcterms:modified>
</cp:coreProperties>
</file>